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753B6" w14:textId="77777777" w:rsidR="007E5E57" w:rsidRDefault="00A048AD">
      <w:pPr>
        <w:pStyle w:val="PlainText"/>
        <w:spacing w:line="360" w:lineRule="auto"/>
        <w:rPr>
          <w:lang w:eastAsia="en-US"/>
        </w:rPr>
      </w:pPr>
      <w:r>
        <w:rPr>
          <w:lang w:eastAsia="en-US"/>
        </w:rPr>
        <w:t>Riigimetsa Majandamise Keskus</w:t>
      </w:r>
    </w:p>
    <w:p w14:paraId="32933BF1" w14:textId="77777777" w:rsidR="007E5E57" w:rsidRDefault="00A048AD">
      <w:pPr>
        <w:pStyle w:val="PlainText"/>
        <w:spacing w:line="360" w:lineRule="auto"/>
        <w:rPr>
          <w:lang w:eastAsia="en-US"/>
        </w:rPr>
      </w:pPr>
      <w:proofErr w:type="spellStart"/>
      <w:r>
        <w:rPr>
          <w:lang w:eastAsia="en-US"/>
        </w:rPr>
        <w:t>Ulvar</w:t>
      </w:r>
      <w:proofErr w:type="spellEnd"/>
      <w:r>
        <w:rPr>
          <w:lang w:eastAsia="en-US"/>
        </w:rPr>
        <w:t xml:space="preserve"> </w:t>
      </w:r>
      <w:proofErr w:type="spellStart"/>
      <w:r>
        <w:rPr>
          <w:lang w:eastAsia="en-US"/>
        </w:rPr>
        <w:t>Kaubi</w:t>
      </w:r>
      <w:proofErr w:type="spellEnd"/>
    </w:p>
    <w:p w14:paraId="556F69B0" w14:textId="77777777" w:rsidR="007E5E57" w:rsidRDefault="00A048AD">
      <w:pPr>
        <w:pStyle w:val="PlainText"/>
        <w:spacing w:line="360" w:lineRule="auto"/>
        <w:rPr>
          <w:lang w:eastAsia="en-US"/>
        </w:rPr>
      </w:pPr>
      <w:r>
        <w:rPr>
          <w:lang w:eastAsia="en-US"/>
        </w:rPr>
        <w:t xml:space="preserve">Lääne-Viru maakond, Haljala vald, </w:t>
      </w:r>
      <w:proofErr w:type="spellStart"/>
      <w:r>
        <w:rPr>
          <w:lang w:eastAsia="en-US"/>
        </w:rPr>
        <w:t>Sagadi</w:t>
      </w:r>
      <w:proofErr w:type="spellEnd"/>
      <w:r>
        <w:rPr>
          <w:lang w:eastAsia="en-US"/>
        </w:rPr>
        <w:t xml:space="preserve"> küla, Mõisa, 45403</w:t>
      </w:r>
    </w:p>
    <w:p w14:paraId="2E365650" w14:textId="77777777" w:rsidR="007E5E57" w:rsidRDefault="00A048AD">
      <w:pPr>
        <w:pStyle w:val="PlainText"/>
        <w:spacing w:line="360" w:lineRule="auto"/>
      </w:pPr>
      <w:hyperlink r:id="rId6" w:history="1">
        <w:r>
          <w:rPr>
            <w:rStyle w:val="Hyperlink"/>
            <w:lang w:eastAsia="en-US"/>
          </w:rPr>
          <w:t>Ulvar.Kaubi@rmk.ee</w:t>
        </w:r>
      </w:hyperlink>
    </w:p>
    <w:p w14:paraId="7599F893" w14:textId="77777777" w:rsidR="007E5E57" w:rsidRDefault="007E5E57">
      <w:pPr>
        <w:pStyle w:val="PlainText"/>
        <w:rPr>
          <w:lang w:eastAsia="en-US"/>
        </w:rPr>
      </w:pPr>
    </w:p>
    <w:p w14:paraId="2EE2247A" w14:textId="77777777" w:rsidR="007E5E57" w:rsidRDefault="00A048AD">
      <w:pPr>
        <w:pStyle w:val="PlainText"/>
        <w:jc w:val="right"/>
        <w:rPr>
          <w:lang w:eastAsia="en-US"/>
        </w:rPr>
      </w:pPr>
      <w:r>
        <w:rPr>
          <w:lang w:eastAsia="en-US"/>
        </w:rPr>
        <w:t xml:space="preserve">28. veebruar 2023. a. </w:t>
      </w:r>
    </w:p>
    <w:p w14:paraId="349E2693" w14:textId="77777777" w:rsidR="007E5E57" w:rsidRDefault="007E5E57">
      <w:pPr>
        <w:pStyle w:val="PlainText"/>
        <w:rPr>
          <w:lang w:eastAsia="en-US"/>
        </w:rPr>
      </w:pPr>
    </w:p>
    <w:p w14:paraId="323AAF78" w14:textId="77777777" w:rsidR="007E5E57" w:rsidRDefault="00A048AD">
      <w:pPr>
        <w:pStyle w:val="PlainText"/>
        <w:rPr>
          <w:b/>
          <w:bCs/>
          <w:lang w:eastAsia="en-US"/>
        </w:rPr>
      </w:pPr>
      <w:r>
        <w:rPr>
          <w:b/>
          <w:bCs/>
          <w:lang w:eastAsia="en-US"/>
        </w:rPr>
        <w:t>VASTUS</w:t>
      </w:r>
    </w:p>
    <w:p w14:paraId="106A4ECF" w14:textId="77777777" w:rsidR="007E5E57" w:rsidRDefault="00A048AD">
      <w:pPr>
        <w:pStyle w:val="PlainText"/>
        <w:rPr>
          <w:b/>
          <w:bCs/>
          <w:lang w:eastAsia="en-US"/>
        </w:rPr>
      </w:pPr>
      <w:r>
        <w:rPr>
          <w:b/>
          <w:bCs/>
          <w:lang w:eastAsia="en-US"/>
        </w:rPr>
        <w:t>23.02.2023 täiendavale pöördumisele seoses avaliku teabe asjaga nr 2.1.-3/21/1875</w:t>
      </w:r>
    </w:p>
    <w:p w14:paraId="595E2839" w14:textId="77777777" w:rsidR="007E5E57" w:rsidRDefault="007E5E57">
      <w:pPr>
        <w:pStyle w:val="PlainText"/>
        <w:rPr>
          <w:lang w:eastAsia="en-US"/>
        </w:rPr>
      </w:pPr>
    </w:p>
    <w:p w14:paraId="0C3A086C" w14:textId="77777777" w:rsidR="007E5E57" w:rsidRDefault="00A048AD">
      <w:pPr>
        <w:pStyle w:val="PlainText"/>
        <w:spacing w:line="360" w:lineRule="auto"/>
        <w:jc w:val="both"/>
      </w:pPr>
      <w:r>
        <w:t xml:space="preserve">Lugupeetud </w:t>
      </w:r>
      <w:proofErr w:type="spellStart"/>
      <w:r>
        <w:t>Ulvar</w:t>
      </w:r>
      <w:proofErr w:type="spellEnd"/>
      <w:r>
        <w:t xml:space="preserve"> </w:t>
      </w:r>
      <w:proofErr w:type="spellStart"/>
      <w:r>
        <w:t>Kaubi</w:t>
      </w:r>
      <w:proofErr w:type="spellEnd"/>
    </w:p>
    <w:p w14:paraId="2961D86C" w14:textId="77777777" w:rsidR="007E5E57" w:rsidRDefault="007E5E57">
      <w:pPr>
        <w:pStyle w:val="PlainText"/>
        <w:spacing w:line="360" w:lineRule="auto"/>
        <w:jc w:val="both"/>
        <w:rPr>
          <w:lang w:eastAsia="en-US"/>
        </w:rPr>
      </w:pPr>
    </w:p>
    <w:p w14:paraId="29B88220" w14:textId="77777777" w:rsidR="007E5E57" w:rsidRDefault="00A048AD">
      <w:pPr>
        <w:pStyle w:val="PlainText"/>
        <w:spacing w:line="360" w:lineRule="auto"/>
        <w:jc w:val="both"/>
        <w:rPr>
          <w:lang w:eastAsia="en-US"/>
        </w:rPr>
      </w:pPr>
      <w:r>
        <w:rPr>
          <w:lang w:eastAsia="en-US"/>
        </w:rPr>
        <w:t>AS Graanul Invest sai 27.02.2023 Teie täiendava pöördumise seoses avaliku teabe a</w:t>
      </w:r>
      <w:r>
        <w:rPr>
          <w:lang w:eastAsia="en-US"/>
        </w:rPr>
        <w:t>sjaga nr 2.1.-3/21/1875, milles palusite AS-il Graanul Invest selgitada, kas AS Graanul Invest jääb enda 19.07.2021.a. vastuses esitatud seisukohtade juurde. Samuti palusite kinnitada, kas AS Graanul Invest leiab, et pärast müügilepingu nr 3-3.6.1/4195 (ed</w:t>
      </w:r>
      <w:r>
        <w:rPr>
          <w:lang w:eastAsia="en-US"/>
        </w:rPr>
        <w:t xml:space="preserve">aspidi Leping) lõppemist sisaldab Leping endiselt AS Graanul Invest ärisaladust. </w:t>
      </w:r>
    </w:p>
    <w:p w14:paraId="2664C5C4" w14:textId="77777777" w:rsidR="007E5E57" w:rsidRDefault="007E5E57">
      <w:pPr>
        <w:pStyle w:val="PlainText"/>
        <w:spacing w:line="360" w:lineRule="auto"/>
        <w:jc w:val="both"/>
        <w:rPr>
          <w:lang w:eastAsia="en-US"/>
        </w:rPr>
      </w:pPr>
    </w:p>
    <w:p w14:paraId="0303B644" w14:textId="77777777" w:rsidR="007E5E57" w:rsidRDefault="00A048AD">
      <w:pPr>
        <w:pStyle w:val="PlainText"/>
        <w:spacing w:line="360" w:lineRule="auto"/>
        <w:jc w:val="both"/>
        <w:rPr>
          <w:lang w:eastAsia="en-US"/>
        </w:rPr>
      </w:pPr>
      <w:r>
        <w:rPr>
          <w:lang w:eastAsia="en-US"/>
        </w:rPr>
        <w:t>Esiteks kinnitab AS Graanul Invest, et jääb enda 19.07.2021.a. vastuses toodud seisukohtade juurde. Viidatud vastuses põhjendasime detailselt, miks vastab iga kinnikaetud os</w:t>
      </w:r>
      <w:r>
        <w:rPr>
          <w:lang w:eastAsia="en-US"/>
        </w:rPr>
        <w:t>a Lepingust ärisaladuse tingimustele kehtiva seaduse ja kohtupraktika järgi. AS Graanul Invest jääb nende seisukohtade juurde.</w:t>
      </w:r>
    </w:p>
    <w:p w14:paraId="4073FBCF" w14:textId="77777777" w:rsidR="007E5E57" w:rsidRDefault="007E5E57">
      <w:pPr>
        <w:pStyle w:val="PlainText"/>
        <w:spacing w:line="360" w:lineRule="auto"/>
        <w:jc w:val="both"/>
        <w:rPr>
          <w:lang w:eastAsia="en-US"/>
        </w:rPr>
      </w:pPr>
    </w:p>
    <w:p w14:paraId="3C901B61" w14:textId="77777777" w:rsidR="007E5E57" w:rsidRDefault="00A048AD">
      <w:pPr>
        <w:pStyle w:val="PlainText"/>
        <w:spacing w:line="360" w:lineRule="auto"/>
        <w:jc w:val="both"/>
        <w:rPr>
          <w:lang w:eastAsia="en-US"/>
        </w:rPr>
      </w:pPr>
      <w:r>
        <w:rPr>
          <w:lang w:eastAsia="en-US"/>
        </w:rPr>
        <w:t xml:space="preserve">Teiseks kinnitame, et oleme seisukohal, et Leping sisaldab AS Graanul Invest ärisaladust ka pärast Lepingu lõppemist. </w:t>
      </w:r>
      <w:proofErr w:type="spellStart"/>
      <w:r>
        <w:rPr>
          <w:lang w:eastAsia="en-US"/>
        </w:rPr>
        <w:t>Teabenõudja</w:t>
      </w:r>
      <w:proofErr w:type="spellEnd"/>
      <w:r>
        <w:rPr>
          <w:lang w:eastAsia="en-US"/>
        </w:rPr>
        <w:t xml:space="preserve"> seisukoht, mille järgi lõpeb ärisaladuse kehtivus Lepingu lõppemisega, on ebaõige ning vastuolus nii kehtiva seaduse kui ka kohtupraktikaga. Ärisaladuse ajalist kehtivuse piiri ei ole seaduse alusel määratud. Ebaausa konkurentsi takistamise ja </w:t>
      </w:r>
      <w:r>
        <w:rPr>
          <w:lang w:eastAsia="en-US"/>
        </w:rPr>
        <w:t>ärisaladuse kaitse seadus („EKTÄKS“) ega ükski muu õigusakt ei sätesta tähtaega, mille jooksul ärisaladust kaitsta saab. Võlaõigusseadus sätestab eelduse, mille järgi kehtib konfidentsiaalsuskohustus edasi ka pärast lepingu lõppemist ning tulenevalt kohtup</w:t>
      </w:r>
      <w:r>
        <w:rPr>
          <w:lang w:eastAsia="en-US"/>
        </w:rPr>
        <w:t xml:space="preserve">raktikast tuleb kahtluse korral eeldada, et konfidentsiaalsuskohustus on pärast lepingu lõppemist olemas. Eeltoodut on põhjendatud ka õiguskirjanduses (vt Võlaõigusseadus III, kommenteeritud väljaanne, Tallinn: Juura 2021, § 625, 3.5.). </w:t>
      </w:r>
    </w:p>
    <w:p w14:paraId="7F772749" w14:textId="77777777" w:rsidR="007E5E57" w:rsidRDefault="007E5E57">
      <w:pPr>
        <w:pStyle w:val="PlainText"/>
        <w:spacing w:line="360" w:lineRule="auto"/>
        <w:jc w:val="both"/>
        <w:rPr>
          <w:lang w:eastAsia="en-US"/>
        </w:rPr>
      </w:pPr>
    </w:p>
    <w:p w14:paraId="192B0D90" w14:textId="77777777" w:rsidR="007E5E57" w:rsidRDefault="00A048AD">
      <w:pPr>
        <w:pStyle w:val="PlainText"/>
        <w:spacing w:line="360" w:lineRule="auto"/>
        <w:jc w:val="both"/>
        <w:rPr>
          <w:lang w:eastAsia="en-US"/>
        </w:rPr>
      </w:pPr>
      <w:r>
        <w:rPr>
          <w:lang w:eastAsia="en-US"/>
        </w:rPr>
        <w:t>Kuna kohalduv sea</w:t>
      </w:r>
      <w:r>
        <w:rPr>
          <w:lang w:eastAsia="en-US"/>
        </w:rPr>
        <w:t xml:space="preserve">dus ei sea ärisaladuse kehtivusele ajalist piiri, siis on teave on käsitletav ärisaladusena nii kaua, kuni see vastab ärisaladuse tingimustele EKTÄKS § 5 lg 2 ja direktiivi (EL) 2016/943 artikkel 2 punkt 1 s.o. teave, mis vastab järgmistele tingimustele: </w:t>
      </w:r>
    </w:p>
    <w:p w14:paraId="23B41279" w14:textId="77777777" w:rsidR="007E5E57" w:rsidRDefault="00A048AD">
      <w:pPr>
        <w:pStyle w:val="PlainText"/>
        <w:spacing w:line="360" w:lineRule="auto"/>
        <w:jc w:val="both"/>
        <w:rPr>
          <w:lang w:eastAsia="en-US"/>
        </w:rPr>
      </w:pPr>
      <w:r>
        <w:rPr>
          <w:lang w:eastAsia="en-US"/>
        </w:rPr>
        <w:t xml:space="preserve">1)         see ei ole kogumis või üksikosade täpses paigutuses ja </w:t>
      </w:r>
      <w:proofErr w:type="spellStart"/>
      <w:r>
        <w:rPr>
          <w:lang w:eastAsia="en-US"/>
        </w:rPr>
        <w:t>kokkupanus</w:t>
      </w:r>
      <w:proofErr w:type="spellEnd"/>
      <w:r>
        <w:rPr>
          <w:lang w:eastAsia="en-US"/>
        </w:rPr>
        <w:t xml:space="preserve"> üldteada või kergesti kättesaadav nende ringkondade isikutele, kes tavaliselt kõnealust laadi teabega tegelevad; </w:t>
      </w:r>
    </w:p>
    <w:p w14:paraId="4E357889" w14:textId="77777777" w:rsidR="007E5E57" w:rsidRDefault="00A048AD">
      <w:pPr>
        <w:pStyle w:val="PlainText"/>
        <w:spacing w:line="360" w:lineRule="auto"/>
        <w:jc w:val="both"/>
        <w:rPr>
          <w:lang w:eastAsia="en-US"/>
        </w:rPr>
      </w:pPr>
      <w:r>
        <w:rPr>
          <w:lang w:eastAsia="en-US"/>
        </w:rPr>
        <w:t>2)         sellel on kaubanduslik väärtus oma salajasuse tõttu ja</w:t>
      </w:r>
      <w:r>
        <w:rPr>
          <w:lang w:eastAsia="en-US"/>
        </w:rPr>
        <w:t xml:space="preserve"> </w:t>
      </w:r>
    </w:p>
    <w:p w14:paraId="745DEBAB" w14:textId="77777777" w:rsidR="007E5E57" w:rsidRDefault="00A048AD">
      <w:pPr>
        <w:pStyle w:val="PlainText"/>
        <w:spacing w:line="360" w:lineRule="auto"/>
        <w:jc w:val="both"/>
        <w:rPr>
          <w:lang w:eastAsia="en-US"/>
        </w:rPr>
      </w:pPr>
      <w:r>
        <w:rPr>
          <w:lang w:eastAsia="en-US"/>
        </w:rPr>
        <w:t>3)         selle üle seaduslikku kontrolli omav isik on asjaoludest lähtuvalt võtnud vajalikke meetmeid, et hoida seda salajas.</w:t>
      </w:r>
    </w:p>
    <w:p w14:paraId="5226FF66" w14:textId="77777777" w:rsidR="007E5E57" w:rsidRDefault="007E5E57">
      <w:pPr>
        <w:pStyle w:val="PlainText"/>
        <w:spacing w:line="360" w:lineRule="auto"/>
        <w:jc w:val="both"/>
        <w:rPr>
          <w:lang w:eastAsia="en-US"/>
        </w:rPr>
      </w:pPr>
    </w:p>
    <w:p w14:paraId="3D20C4B2" w14:textId="77777777" w:rsidR="007E5E57" w:rsidRDefault="00A048AD">
      <w:pPr>
        <w:pStyle w:val="PlainText"/>
        <w:spacing w:line="360" w:lineRule="auto"/>
        <w:jc w:val="both"/>
        <w:rPr>
          <w:lang w:eastAsia="en-US"/>
        </w:rPr>
      </w:pPr>
      <w:r>
        <w:rPr>
          <w:lang w:eastAsia="en-US"/>
        </w:rPr>
        <w:lastRenderedPageBreak/>
        <w:t>Praegusel juhul vastab 19.07.2021.a. vastuse lisades kinnikaetud teave ärisaladuse tingimustele samadel põhjustel, nagu 19.07</w:t>
      </w:r>
      <w:r>
        <w:rPr>
          <w:lang w:eastAsia="en-US"/>
        </w:rPr>
        <w:t xml:space="preserve">.2021. a. vastuses juba selgitatud. AS Graanul Invest jääb esitatud seisukohtade juurde. </w:t>
      </w:r>
    </w:p>
    <w:p w14:paraId="2D26B5EF" w14:textId="77777777" w:rsidR="007E5E57" w:rsidRDefault="007E5E57">
      <w:pPr>
        <w:pStyle w:val="PlainText"/>
        <w:spacing w:line="360" w:lineRule="auto"/>
        <w:jc w:val="both"/>
        <w:rPr>
          <w:lang w:eastAsia="en-US"/>
        </w:rPr>
      </w:pPr>
    </w:p>
    <w:p w14:paraId="411E606D" w14:textId="77777777" w:rsidR="007E5E57" w:rsidRDefault="00A048AD">
      <w:pPr>
        <w:pStyle w:val="PlainText"/>
        <w:spacing w:line="360" w:lineRule="auto"/>
        <w:jc w:val="both"/>
        <w:rPr>
          <w:lang w:eastAsia="en-US"/>
        </w:rPr>
      </w:pPr>
      <w:r>
        <w:rPr>
          <w:lang w:eastAsia="en-US"/>
        </w:rPr>
        <w:t xml:space="preserve">Eraldi soovime juhtida tähelepanu, et </w:t>
      </w:r>
      <w:proofErr w:type="spellStart"/>
      <w:r>
        <w:rPr>
          <w:lang w:eastAsia="en-US"/>
        </w:rPr>
        <w:t>teabenõudja</w:t>
      </w:r>
      <w:proofErr w:type="spellEnd"/>
      <w:r>
        <w:rPr>
          <w:lang w:eastAsia="en-US"/>
        </w:rPr>
        <w:t xml:space="preserve"> 16.02.2023 teabenõudes esitanud väiteid seonduvad eelkõige sellega, kas konkreetset teavet saab lugeda RMK ärisalad</w:t>
      </w:r>
      <w:r>
        <w:rPr>
          <w:lang w:eastAsia="en-US"/>
        </w:rPr>
        <w:t>useks või mitte. Avaliku teabe seaduse (</w:t>
      </w:r>
      <w:proofErr w:type="spellStart"/>
      <w:r>
        <w:rPr>
          <w:lang w:eastAsia="en-US"/>
        </w:rPr>
        <w:t>AvTS</w:t>
      </w:r>
      <w:proofErr w:type="spellEnd"/>
      <w:r>
        <w:rPr>
          <w:lang w:eastAsia="en-US"/>
        </w:rPr>
        <w:t>) § 35 lg 1 p 17 järgi on teabevaldaja kohustatud aga asutusesiseseks kasutamiseks tunnistama teabe, mille avalikustamine võib kahjustada ka teabevaldaja lepingupartneri ärisaladust, mitte ainult teabevaldaja end</w:t>
      </w:r>
      <w:r>
        <w:rPr>
          <w:lang w:eastAsia="en-US"/>
        </w:rPr>
        <w:t xml:space="preserve">a ärisaladust. Nagu juba 19.07.2021. a. vastuses selgitatud, siis </w:t>
      </w:r>
      <w:proofErr w:type="spellStart"/>
      <w:r>
        <w:rPr>
          <w:lang w:eastAsia="en-US"/>
        </w:rPr>
        <w:t>AvTS</w:t>
      </w:r>
      <w:proofErr w:type="spellEnd"/>
      <w:r>
        <w:rPr>
          <w:lang w:eastAsia="en-US"/>
        </w:rPr>
        <w:t xml:space="preserve"> § 35 lg 1 p 17 sõnastuse ja mõtte kohaselt tuleb asutusesiseseks kasutamiseks mõeldud teabeks tunnistada mitte üksnes ärisaladus, vaid ka muu teave, mis ei ole ärisaladus, aga mille ava</w:t>
      </w:r>
      <w:r>
        <w:rPr>
          <w:lang w:eastAsia="en-US"/>
        </w:rPr>
        <w:t>likustamine võib ärisaladust kahjustada. Praegusel juhul ongi oluline kaitsta AS Graanul Invest ärisaladust, mitte niivõrd RMK ärisaladust. AS Graanul Invest ärisaladuse kaitsmisel ei oma tähendust küsimus sellest, kas sama teave saab olla RMK ärisaladusek</w:t>
      </w:r>
      <w:r>
        <w:rPr>
          <w:lang w:eastAsia="en-US"/>
        </w:rPr>
        <w:t xml:space="preserve">s või mitte. Seega on </w:t>
      </w:r>
      <w:proofErr w:type="spellStart"/>
      <w:r>
        <w:rPr>
          <w:lang w:eastAsia="en-US"/>
        </w:rPr>
        <w:t>teabenõudja</w:t>
      </w:r>
      <w:proofErr w:type="spellEnd"/>
      <w:r>
        <w:rPr>
          <w:lang w:eastAsia="en-US"/>
        </w:rPr>
        <w:t xml:space="preserve"> argumendid RMK ärisaladuse kohta asjakohatud AS Graanul Invest ärisaladuse kaitsmisel. </w:t>
      </w:r>
    </w:p>
    <w:p w14:paraId="4565FDD4" w14:textId="77777777" w:rsidR="007E5E57" w:rsidRDefault="007E5E57">
      <w:pPr>
        <w:pStyle w:val="PlainText"/>
        <w:spacing w:line="360" w:lineRule="auto"/>
        <w:jc w:val="both"/>
        <w:rPr>
          <w:lang w:eastAsia="en-US"/>
        </w:rPr>
      </w:pPr>
    </w:p>
    <w:p w14:paraId="74C78BBF" w14:textId="77777777" w:rsidR="007E5E57" w:rsidRDefault="00A048AD">
      <w:pPr>
        <w:pStyle w:val="PlainText"/>
        <w:spacing w:line="360" w:lineRule="auto"/>
        <w:jc w:val="both"/>
        <w:rPr>
          <w:lang w:eastAsia="en-US"/>
        </w:rPr>
      </w:pPr>
      <w:r>
        <w:rPr>
          <w:lang w:eastAsia="en-US"/>
        </w:rPr>
        <w:t>Kui vajate täpsemaid põhjendusi, siis palume sellest teada anda ning oleme valmis ärisaladuse olemasolu ja ärisaladuse kehtivust täie</w:t>
      </w:r>
      <w:r>
        <w:rPr>
          <w:lang w:eastAsia="en-US"/>
        </w:rPr>
        <w:t xml:space="preserve">ndavalt põhjendama. Rõhutame ja palume mõista, et AS Graanul Invest ärisaladuse lubamatu avaldamine tekitaks AS-ile Graanul Invest pöördumatut kahju. Seetõttu palume mitte edastada Lepingu kohta täiendavat infot ilma AS Graanul Invest nõusolekuta. </w:t>
      </w:r>
    </w:p>
    <w:p w14:paraId="26492782" w14:textId="77777777" w:rsidR="007E5E57" w:rsidRDefault="007E5E57">
      <w:pPr>
        <w:pStyle w:val="PlainText"/>
        <w:spacing w:line="360" w:lineRule="auto"/>
        <w:jc w:val="both"/>
        <w:rPr>
          <w:lang w:eastAsia="en-US"/>
        </w:rPr>
      </w:pPr>
    </w:p>
    <w:p w14:paraId="5F7D6949" w14:textId="77777777" w:rsidR="007E5E57" w:rsidRDefault="00A048AD">
      <w:pPr>
        <w:spacing w:line="360" w:lineRule="auto"/>
        <w:jc w:val="both"/>
      </w:pPr>
      <w:r>
        <w:rPr>
          <w:rFonts w:ascii="Arial" w:hAnsi="Arial" w:cs="Arial"/>
          <w:sz w:val="20"/>
          <w:szCs w:val="20"/>
        </w:rPr>
        <w:t>Täpsus</w:t>
      </w:r>
      <w:r>
        <w:rPr>
          <w:rFonts w:ascii="Arial" w:hAnsi="Arial" w:cs="Arial"/>
          <w:sz w:val="20"/>
          <w:szCs w:val="20"/>
        </w:rPr>
        <w:t xml:space="preserve">tavate küsimuste korral palume pöörduda </w:t>
      </w:r>
      <w:hyperlink r:id="rId7" w:history="1">
        <w:r>
          <w:rPr>
            <w:rStyle w:val="Hyperlink"/>
            <w:rFonts w:ascii="Arial" w:hAnsi="Arial" w:cs="Arial"/>
            <w:sz w:val="20"/>
            <w:szCs w:val="20"/>
          </w:rPr>
          <w:t>jaano.haidla@graanulinvest.com</w:t>
        </w:r>
      </w:hyperlink>
      <w:r>
        <w:rPr>
          <w:rFonts w:ascii="Arial" w:hAnsi="Arial" w:cs="Arial"/>
          <w:sz w:val="20"/>
          <w:szCs w:val="20"/>
        </w:rPr>
        <w:t xml:space="preserve">. </w:t>
      </w:r>
    </w:p>
    <w:p w14:paraId="693D0529" w14:textId="77777777" w:rsidR="007E5E57" w:rsidRDefault="007E5E57">
      <w:pPr>
        <w:spacing w:line="360" w:lineRule="auto"/>
        <w:jc w:val="both"/>
        <w:rPr>
          <w:rFonts w:ascii="Arial" w:hAnsi="Arial" w:cs="Arial"/>
          <w:sz w:val="20"/>
          <w:szCs w:val="20"/>
        </w:rPr>
      </w:pPr>
    </w:p>
    <w:p w14:paraId="64FBE875" w14:textId="77777777" w:rsidR="007E5E57" w:rsidRDefault="00A048AD">
      <w:pPr>
        <w:keepNext/>
        <w:spacing w:line="360" w:lineRule="auto"/>
        <w:jc w:val="both"/>
        <w:rPr>
          <w:rFonts w:ascii="Arial" w:hAnsi="Arial" w:cs="Arial"/>
          <w:sz w:val="20"/>
          <w:szCs w:val="20"/>
        </w:rPr>
      </w:pPr>
      <w:r>
        <w:rPr>
          <w:rFonts w:ascii="Arial" w:hAnsi="Arial" w:cs="Arial"/>
          <w:sz w:val="20"/>
          <w:szCs w:val="20"/>
        </w:rPr>
        <w:t>Austusega</w:t>
      </w:r>
    </w:p>
    <w:p w14:paraId="2F11C64B" w14:textId="77777777" w:rsidR="007E5E57" w:rsidRDefault="007E5E57">
      <w:pPr>
        <w:keepNext/>
        <w:spacing w:line="360" w:lineRule="auto"/>
        <w:jc w:val="both"/>
        <w:rPr>
          <w:rFonts w:ascii="Arial" w:hAnsi="Arial" w:cs="Arial"/>
          <w:sz w:val="20"/>
          <w:szCs w:val="20"/>
        </w:rPr>
      </w:pPr>
    </w:p>
    <w:p w14:paraId="57F0F367" w14:textId="77777777" w:rsidR="007E5E57" w:rsidRDefault="00A048AD">
      <w:pPr>
        <w:keepNext/>
        <w:spacing w:line="360" w:lineRule="auto"/>
        <w:jc w:val="both"/>
        <w:rPr>
          <w:rFonts w:ascii="Arial" w:hAnsi="Arial" w:cs="Arial"/>
          <w:sz w:val="20"/>
          <w:szCs w:val="20"/>
        </w:rPr>
      </w:pPr>
      <w:r>
        <w:rPr>
          <w:rFonts w:ascii="Arial" w:hAnsi="Arial" w:cs="Arial"/>
          <w:sz w:val="20"/>
          <w:szCs w:val="20"/>
        </w:rPr>
        <w:t>/digiallkirjastatud/</w:t>
      </w:r>
    </w:p>
    <w:p w14:paraId="51B68D2F" w14:textId="77777777" w:rsidR="007E5E57" w:rsidRDefault="007E5E57">
      <w:pPr>
        <w:spacing w:line="360" w:lineRule="auto"/>
        <w:jc w:val="both"/>
        <w:rPr>
          <w:rFonts w:ascii="Arial" w:hAnsi="Arial" w:cs="Arial"/>
          <w:sz w:val="20"/>
          <w:szCs w:val="20"/>
        </w:rPr>
      </w:pPr>
    </w:p>
    <w:p w14:paraId="63532AF3" w14:textId="77777777" w:rsidR="007E5E57" w:rsidRDefault="00A048AD">
      <w:pPr>
        <w:spacing w:line="360" w:lineRule="auto"/>
        <w:rPr>
          <w:rFonts w:ascii="Arial" w:hAnsi="Arial" w:cs="Arial"/>
          <w:sz w:val="20"/>
          <w:szCs w:val="20"/>
        </w:rPr>
      </w:pPr>
      <w:r>
        <w:rPr>
          <w:rFonts w:ascii="Arial" w:hAnsi="Arial" w:cs="Arial"/>
          <w:sz w:val="20"/>
          <w:szCs w:val="20"/>
        </w:rPr>
        <w:t>AS GRAANUL INVEST</w:t>
      </w:r>
      <w:r>
        <w:rPr>
          <w:rFonts w:ascii="Arial" w:hAnsi="Arial" w:cs="Arial"/>
          <w:sz w:val="20"/>
          <w:szCs w:val="20"/>
        </w:rPr>
        <w:br/>
      </w:r>
      <w:r>
        <w:rPr>
          <w:rFonts w:ascii="Arial" w:hAnsi="Arial" w:cs="Arial"/>
          <w:sz w:val="20"/>
          <w:szCs w:val="20"/>
        </w:rPr>
        <w:t>Jaano Haidla</w:t>
      </w:r>
      <w:r>
        <w:rPr>
          <w:rFonts w:ascii="Arial" w:hAnsi="Arial" w:cs="Arial"/>
          <w:sz w:val="20"/>
          <w:szCs w:val="20"/>
        </w:rPr>
        <w:br/>
      </w:r>
      <w:r>
        <w:rPr>
          <w:rFonts w:ascii="Arial" w:hAnsi="Arial" w:cs="Arial"/>
          <w:sz w:val="20"/>
          <w:szCs w:val="20"/>
        </w:rPr>
        <w:t>juhatuse liige</w:t>
      </w:r>
    </w:p>
    <w:p w14:paraId="08A3952E" w14:textId="77777777" w:rsidR="007E5E57" w:rsidRDefault="007E5E57">
      <w:pPr>
        <w:pStyle w:val="PlainText"/>
        <w:spacing w:line="360" w:lineRule="auto"/>
        <w:jc w:val="both"/>
        <w:rPr>
          <w:lang w:eastAsia="en-US"/>
        </w:rPr>
      </w:pPr>
    </w:p>
    <w:p w14:paraId="069EC494" w14:textId="77777777" w:rsidR="007E5E57" w:rsidRDefault="007E5E57">
      <w:pPr>
        <w:spacing w:line="360" w:lineRule="auto"/>
        <w:jc w:val="both"/>
      </w:pPr>
    </w:p>
    <w:sectPr w:rsidR="007E5E57">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46039" w14:textId="77777777" w:rsidR="00000000" w:rsidRDefault="00A048AD">
      <w:r>
        <w:separator/>
      </w:r>
    </w:p>
  </w:endnote>
  <w:endnote w:type="continuationSeparator" w:id="0">
    <w:p w14:paraId="3969DAA8" w14:textId="77777777" w:rsidR="00000000" w:rsidRDefault="00A04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56F96" w14:textId="77777777" w:rsidR="00290201" w:rsidRDefault="00A04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82474" w14:textId="77777777" w:rsidR="00000000" w:rsidRDefault="00A048AD">
      <w:r>
        <w:rPr>
          <w:color w:val="000000"/>
        </w:rPr>
        <w:separator/>
      </w:r>
    </w:p>
  </w:footnote>
  <w:footnote w:type="continuationSeparator" w:id="0">
    <w:p w14:paraId="4FD3F85C" w14:textId="77777777" w:rsidR="00000000" w:rsidRDefault="00A04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4A95F" w14:textId="77777777" w:rsidR="00290201" w:rsidRDefault="00A048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E5E57"/>
    <w:rsid w:val="007E5E57"/>
    <w:rsid w:val="00A048A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46C5F"/>
  <w15:docId w15:val="{A902CB12-1EAE-47DF-9C74-722888406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t-EE"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paragraph" w:styleId="PlainText">
    <w:name w:val="Plain Text"/>
    <w:basedOn w:val="Normal"/>
    <w:rPr>
      <w:rFonts w:ascii="Arial" w:hAnsi="Arial" w:cs="Arial"/>
      <w:sz w:val="20"/>
      <w:szCs w:val="20"/>
      <w:lang w:eastAsia="et-EE"/>
    </w:rPr>
  </w:style>
  <w:style w:type="character" w:customStyle="1" w:styleId="PlainTextChar">
    <w:name w:val="Plain Text Char"/>
    <w:basedOn w:val="DefaultParagraphFont"/>
    <w:rPr>
      <w:rFonts w:ascii="Arial" w:hAnsi="Arial" w:cs="Arial"/>
      <w:sz w:val="20"/>
      <w:szCs w:val="20"/>
      <w:lang w:eastAsia="et-EE"/>
    </w:rPr>
  </w:style>
  <w:style w:type="paragraph" w:styleId="Header">
    <w:name w:val="header"/>
    <w:basedOn w:val="Normal"/>
    <w:pPr>
      <w:tabs>
        <w:tab w:val="center" w:pos="4536"/>
        <w:tab w:val="right" w:pos="9072"/>
      </w:tabs>
    </w:pPr>
  </w:style>
  <w:style w:type="character" w:customStyle="1" w:styleId="HeaderChar">
    <w:name w:val="Header Char"/>
    <w:basedOn w:val="DefaultParagraphFont"/>
    <w:rPr>
      <w:rFonts w:ascii="Calibri" w:hAnsi="Calibri" w:cs="Calibri"/>
    </w:rPr>
  </w:style>
  <w:style w:type="paragraph" w:styleId="Footer">
    <w:name w:val="footer"/>
    <w:basedOn w:val="Normal"/>
    <w:pPr>
      <w:tabs>
        <w:tab w:val="center" w:pos="4536"/>
        <w:tab w:val="right" w:pos="9072"/>
      </w:tabs>
    </w:pPr>
  </w:style>
  <w:style w:type="character" w:customStyle="1" w:styleId="FooterChar">
    <w:name w:val="Footer Char"/>
    <w:basedOn w:val="DefaultParagraphFont"/>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webSettings" Target="webSettings.xml" Id="rId3" /><Relationship Type="http://schemas.openxmlformats.org/officeDocument/2006/relationships/hyperlink" Target="mailto:jaano.haidla@graanulinvest.com"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mailto:Ulvar.Kaubi@rmk.ee" TargetMode="External" Id="rId6" /><Relationship Type="http://schemas.openxmlformats.org/officeDocument/2006/relationships/theme" Target="theme/theme1.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 Type="http://schemas.openxmlformats.org/officeDocument/2006/relationships/footer" Target="footer1.xml" Id="rId9" /><Relationship Type="http://schemas.openxmlformats.org/officeDocument/2006/relationships/customXml" Target="/customXML/item.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1 6 " ? >  
 < p r o p e r t i e s   x m l n s = " h t t p : / / w w w . i m a n a g e . c o m / w o r k / x m l s c h e m a " >  
     < d o c u m e n t i d > T L N ! 7 6 8 4 6 2 . 2 < / d o c u m e n t i d >  
     < s e n d e r i d > M E R L I N . L I I S < / s e n d e r i d >  
     < s e n d e r e m a i l > M E R L I N . L I I S - T O O M E L A @ E L L E X . L E G A L < / s e n d e r e m a i l >  
     < l a s t m o d i f i e d > 2 0 2 3 - 0 2 - 2 8 T 1 0 : 3 2 : 0 0 . 0 0 0 0 0 0 0 + 0 2 : 0 0 < / l a s t m o d i f i e d >  
     < d a t a b a s e > T L N < / d a t a b a s e >  
 < / p r o p e r t i e s > 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3704</Characters>
  <Application>Microsoft Office Word</Application>
  <DocSecurity>0</DocSecurity>
  <Lines>97</Lines>
  <Paragraphs>32</Paragraphs>
  <ScaleCrop>false</ScaleCrop>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Merlin Liis-Toomela | Ellex</dc:creator>
  <dc:description/>
  <cp:lastModifiedBy>Merlin Liis-Toomela | Ellex</cp:lastModifiedBy>
  <cp:revision>2</cp:revision>
  <dcterms:created xsi:type="dcterms:W3CDTF">2023-02-28T08:32:00Z</dcterms:created>
  <dcterms:modified xsi:type="dcterms:W3CDTF">2023-02-28T08:32:00Z</dcterms:modified>
</cp:coreProperties>
</file>